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2025 18 vom 20. August 2025</w:t>
      </w:r>
    </w:p>
    <w:p>
      <w:r>
        <w:t>BL Gerichte, 2025-08-20, DE</w:t>
      </w:r>
    </w:p>
    <w:p>
      <w:r>
        <w:rPr>
          <w:b/>
        </w:rPr>
        <w:t xml:space="preserve">Quelle: </w:t>
      </w:r>
      <w:r>
        <w:t>https://mcp.opencaselaw.ch/entscheid/bl_gerichte_810 2025 18</w:t>
      </w:r>
    </w:p>
    <w:p>
      <w:r>
        <w:t>FR: BL_GERICHTE 810 2025 18 du 20 août 2025</w:t>
      </w:r>
    </w:p>
    <w:p>
      <w:r>
        <w:t>IT: BL_GERICHTE 810 2025 18 del 20 agosto 2025</w:t>
      </w:r>
    </w:p>
    <w:p>
      <w:pPr>
        <w:pStyle w:val="Heading2"/>
      </w:pPr>
      <w:r>
        <w:t>Regeste</w:t>
      </w:r>
    </w:p>
    <w:p>
      <w:r>
        <w:t>Widerruf der Aufenthaltsbewilligung und Wegweisung aus der Schweiz / Häusliche Gewalt / Berücksichtigung des Kindeswohls bei der Verhältnismässigkeitsprüfung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1'500.-- werden dem Regierungsrat des Kantons Basel-Landschaft auferlegt.</w:t>
      </w:r>
    </w:p>
    <w:p>
      <w:r>
        <w:rPr>
          <w:b/>
        </w:rPr>
        <w:t>E. 3</w:t>
      </w:r>
    </w:p>
    <w:p>
      <w:r>
        <w:t>Der Regierungsrat hat den Beschwerdeführerinnen eine Parteientschädigung in der Höhe von Fr. 4'913.60 (inkl. Auslagen und 8.1 % MWST) auszurichten. Präsident Gerichtsschreiberin i.V.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